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4F" w:rsidRPr="002F1D24" w:rsidRDefault="003A3A78" w:rsidP="00285F0E">
      <w:pPr>
        <w:jc w:val="center"/>
        <w:rPr>
          <w:b/>
          <w:sz w:val="28"/>
          <w:szCs w:val="28"/>
          <w:lang w:val="en-US"/>
        </w:rPr>
      </w:pPr>
      <w:r w:rsidRPr="002F1D24">
        <w:rPr>
          <w:b/>
          <w:sz w:val="28"/>
          <w:szCs w:val="28"/>
          <w:lang w:val="en-US"/>
        </w:rPr>
        <w:t>TABLE OF SHIPBOARD WORKING ARRANGEMENTS</w:t>
      </w:r>
    </w:p>
    <w:p w:rsidR="006A30DF" w:rsidRDefault="006A30DF" w:rsidP="003A3A78">
      <w:pPr>
        <w:rPr>
          <w:sz w:val="28"/>
          <w:szCs w:val="28"/>
          <w:lang w:val="en-US"/>
        </w:rPr>
      </w:pPr>
    </w:p>
    <w:p w:rsidR="003A3A78" w:rsidRDefault="006A30DF" w:rsidP="003A3A78">
      <w:pPr>
        <w:rPr>
          <w:lang w:val="en-US"/>
        </w:rPr>
      </w:pPr>
      <w:r>
        <w:rPr>
          <w:lang w:val="en-US"/>
        </w:rPr>
        <w:t>Name of Ship: ________________________Flag of Ship</w:t>
      </w:r>
      <w:r w:rsidR="00DE0CB9">
        <w:rPr>
          <w:lang w:val="en-US"/>
        </w:rPr>
        <w:t>:</w:t>
      </w:r>
      <w:r>
        <w:rPr>
          <w:lang w:val="en-US"/>
        </w:rPr>
        <w:t xml:space="preserve"> _________________ IMO Number</w:t>
      </w:r>
      <w:r w:rsidR="003A3A78">
        <w:rPr>
          <w:lang w:val="en-US"/>
        </w:rPr>
        <w:t>:</w:t>
      </w:r>
      <w:r>
        <w:rPr>
          <w:lang w:val="en-US"/>
        </w:rPr>
        <w:t xml:space="preserve"> ______________________ </w:t>
      </w:r>
      <w:r w:rsidR="003A3A78">
        <w:rPr>
          <w:lang w:val="en-US"/>
        </w:rPr>
        <w:t>Last updated</w:t>
      </w:r>
      <w:proofErr w:type="gramStart"/>
      <w:r w:rsidR="003A3A78">
        <w:rPr>
          <w:lang w:val="en-US"/>
        </w:rPr>
        <w:t>:</w:t>
      </w:r>
      <w:r>
        <w:rPr>
          <w:lang w:val="en-US"/>
        </w:rPr>
        <w:t>_</w:t>
      </w:r>
      <w:proofErr w:type="gramEnd"/>
      <w:r>
        <w:rPr>
          <w:lang w:val="en-US"/>
        </w:rPr>
        <w:t>______________</w:t>
      </w:r>
    </w:p>
    <w:p w:rsidR="003A3A78" w:rsidRDefault="003A3A78" w:rsidP="003A3A78">
      <w:pPr>
        <w:rPr>
          <w:lang w:val="en-US"/>
        </w:rPr>
      </w:pPr>
    </w:p>
    <w:p w:rsidR="003A3A78" w:rsidRPr="00DE0CB9" w:rsidRDefault="003A3A78" w:rsidP="006A30DF">
      <w:pPr>
        <w:jc w:val="both"/>
        <w:rPr>
          <w:b/>
          <w:sz w:val="20"/>
          <w:szCs w:val="20"/>
          <w:lang w:val="en-US"/>
        </w:rPr>
      </w:pPr>
      <w:r w:rsidRPr="006A30DF">
        <w:rPr>
          <w:sz w:val="20"/>
          <w:szCs w:val="20"/>
          <w:lang w:val="en-US"/>
        </w:rPr>
        <w:t>The minimum hours of rest ar</w:t>
      </w:r>
      <w:r w:rsidR="002F746A">
        <w:rPr>
          <w:sz w:val="20"/>
          <w:szCs w:val="20"/>
          <w:lang w:val="en-US"/>
        </w:rPr>
        <w:t xml:space="preserve">e applicable in accordance </w:t>
      </w:r>
      <w:r w:rsidRPr="006A30DF">
        <w:rPr>
          <w:sz w:val="20"/>
          <w:szCs w:val="20"/>
          <w:lang w:val="en-US"/>
        </w:rPr>
        <w:t xml:space="preserve">with </w:t>
      </w:r>
      <w:r w:rsidR="002F1D24">
        <w:rPr>
          <w:sz w:val="20"/>
          <w:szCs w:val="20"/>
          <w:lang w:val="en-US"/>
        </w:rPr>
        <w:t xml:space="preserve">the MLC, 2006 Ratification Law of 2011 and the </w:t>
      </w:r>
      <w:r w:rsidRPr="006A30DF">
        <w:rPr>
          <w:sz w:val="20"/>
          <w:szCs w:val="20"/>
          <w:lang w:val="en-US"/>
        </w:rPr>
        <w:t>ILO Maritime Labour Convention, 2006 (MLC</w:t>
      </w:r>
      <w:r w:rsidR="002F746A">
        <w:rPr>
          <w:sz w:val="20"/>
          <w:szCs w:val="20"/>
          <w:lang w:val="en-US"/>
        </w:rPr>
        <w:t>,  2006)</w:t>
      </w:r>
      <w:r w:rsidRPr="006A30DF">
        <w:rPr>
          <w:sz w:val="20"/>
          <w:szCs w:val="20"/>
          <w:lang w:val="en-US"/>
        </w:rPr>
        <w:t xml:space="preserve"> and with any applicable collective agreement registered or authorized in accordance with that convention </w:t>
      </w:r>
      <w:r w:rsidR="00FC5584">
        <w:rPr>
          <w:sz w:val="20"/>
          <w:szCs w:val="20"/>
          <w:lang w:val="en-US"/>
        </w:rPr>
        <w:t xml:space="preserve">and </w:t>
      </w:r>
      <w:r w:rsidR="002F1D24">
        <w:rPr>
          <w:sz w:val="20"/>
          <w:szCs w:val="20"/>
          <w:lang w:val="en-US"/>
        </w:rPr>
        <w:t xml:space="preserve">the STCW </w:t>
      </w:r>
      <w:r w:rsidRPr="006A30DF">
        <w:rPr>
          <w:sz w:val="20"/>
          <w:szCs w:val="20"/>
          <w:lang w:val="en-US"/>
        </w:rPr>
        <w:t xml:space="preserve">1978 , </w:t>
      </w:r>
      <w:r w:rsidR="002F1D24">
        <w:rPr>
          <w:sz w:val="20"/>
          <w:szCs w:val="20"/>
          <w:lang w:val="en-US"/>
        </w:rPr>
        <w:t xml:space="preserve">Convention, </w:t>
      </w:r>
      <w:r w:rsidRPr="006A30DF">
        <w:rPr>
          <w:sz w:val="20"/>
          <w:szCs w:val="20"/>
          <w:lang w:val="en-US"/>
        </w:rPr>
        <w:t>as amended</w:t>
      </w:r>
      <w:r w:rsidRPr="00DE0CB9">
        <w:rPr>
          <w:b/>
          <w:sz w:val="20"/>
          <w:szCs w:val="20"/>
          <w:lang w:val="en-US"/>
        </w:rPr>
        <w:t>.</w:t>
      </w:r>
    </w:p>
    <w:p w:rsidR="003A3A78" w:rsidRPr="00784748" w:rsidRDefault="003A3A78" w:rsidP="003A3A78">
      <w:pPr>
        <w:rPr>
          <w:b/>
          <w:sz w:val="10"/>
          <w:szCs w:val="10"/>
          <w:lang w:val="en-US"/>
        </w:rPr>
      </w:pPr>
    </w:p>
    <w:p w:rsidR="003A3A78" w:rsidRDefault="003A3A78" w:rsidP="003A3A78">
      <w:pPr>
        <w:rPr>
          <w:u w:val="single"/>
          <w:lang w:val="en-US"/>
        </w:rPr>
      </w:pPr>
      <w:r w:rsidRPr="006A30DF">
        <w:rPr>
          <w:lang w:val="en-US"/>
        </w:rPr>
        <w:t>Minimum Hours of Rest</w:t>
      </w:r>
      <w:r w:rsidRPr="003A3A78">
        <w:rPr>
          <w:lang w:val="en-US"/>
        </w:rPr>
        <w:t>:</w:t>
      </w:r>
      <w:r w:rsidRPr="003A3A78">
        <w:rPr>
          <w:u w:val="single"/>
          <w:lang w:val="en-US"/>
        </w:rPr>
        <w:t xml:space="preserve"> Minimum Hours of</w:t>
      </w:r>
      <w:r w:rsidR="006A30DF">
        <w:rPr>
          <w:u w:val="single"/>
          <w:lang w:val="en-US"/>
        </w:rPr>
        <w:t xml:space="preserve"> Rest shall not be less than (i)</w:t>
      </w:r>
      <w:r w:rsidRPr="003A3A78">
        <w:rPr>
          <w:u w:val="single"/>
          <w:lang w:val="en-US"/>
        </w:rPr>
        <w:t xml:space="preserve"> 10 hours in any 24-hour period</w:t>
      </w:r>
      <w:r w:rsidR="006A30DF">
        <w:rPr>
          <w:u w:val="single"/>
          <w:lang w:val="en-US"/>
        </w:rPr>
        <w:t>; and (ii) 77 hours in any 7-</w:t>
      </w:r>
      <w:r w:rsidRPr="003A3A78">
        <w:rPr>
          <w:u w:val="single"/>
          <w:lang w:val="en-US"/>
        </w:rPr>
        <w:t xml:space="preserve">day period. </w:t>
      </w:r>
      <w:r w:rsidR="006A30DF">
        <w:rPr>
          <w:u w:val="single"/>
          <w:lang w:val="en-US"/>
        </w:rPr>
        <w:t>___________</w:t>
      </w:r>
    </w:p>
    <w:p w:rsidR="003A3A78" w:rsidRPr="00784748" w:rsidRDefault="003A3A78" w:rsidP="003A3A78">
      <w:pPr>
        <w:rPr>
          <w:sz w:val="10"/>
          <w:szCs w:val="10"/>
          <w:u w:val="single"/>
          <w:lang w:val="en-US"/>
        </w:rPr>
      </w:pPr>
    </w:p>
    <w:p w:rsidR="003A3A78" w:rsidRDefault="003A3A78" w:rsidP="003A3A78">
      <w:pPr>
        <w:rPr>
          <w:b/>
          <w:lang w:val="en-US"/>
        </w:rPr>
      </w:pPr>
      <w:r w:rsidRPr="006A30DF">
        <w:rPr>
          <w:lang w:val="en-US"/>
        </w:rPr>
        <w:t>Other Requirements:</w:t>
      </w:r>
      <w:r>
        <w:rPr>
          <w:b/>
          <w:lang w:val="en-US"/>
        </w:rPr>
        <w:t xml:space="preserve"> __________________________________________________________________________________________________</w:t>
      </w:r>
      <w:r w:rsidR="006A30DF">
        <w:rPr>
          <w:b/>
          <w:lang w:val="en-US"/>
        </w:rPr>
        <w:t>____________</w:t>
      </w:r>
    </w:p>
    <w:p w:rsidR="003A3A78" w:rsidRPr="00784748" w:rsidRDefault="003A3A78" w:rsidP="003A3A78">
      <w:pPr>
        <w:rPr>
          <w:b/>
          <w:sz w:val="10"/>
          <w:szCs w:val="10"/>
          <w:lang w:val="en-US"/>
        </w:rPr>
      </w:pP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189"/>
        <w:gridCol w:w="2151"/>
        <w:gridCol w:w="2169"/>
        <w:gridCol w:w="2520"/>
        <w:gridCol w:w="2160"/>
        <w:gridCol w:w="1203"/>
        <w:gridCol w:w="1204"/>
      </w:tblGrid>
      <w:tr w:rsidR="00784748" w:rsidRPr="00CB0859" w:rsidTr="00CB0859">
        <w:trPr>
          <w:trHeight w:val="315"/>
        </w:trPr>
        <w:tc>
          <w:tcPr>
            <w:tcW w:w="1879" w:type="dxa"/>
            <w:vMerge w:val="restart"/>
            <w:tcBorders>
              <w:top w:val="single" w:sz="4" w:space="0" w:color="auto"/>
            </w:tcBorders>
          </w:tcPr>
          <w:p w:rsidR="00784748" w:rsidRPr="00CB0859" w:rsidRDefault="00784748" w:rsidP="00CB0859">
            <w:pPr>
              <w:jc w:val="center"/>
              <w:rPr>
                <w:sz w:val="20"/>
                <w:szCs w:val="20"/>
                <w:lang w:val="en-US"/>
              </w:rPr>
            </w:pPr>
          </w:p>
          <w:p w:rsidR="00784748" w:rsidRPr="00CB0859" w:rsidRDefault="00784748" w:rsidP="00CB0859">
            <w:pPr>
              <w:jc w:val="center"/>
              <w:rPr>
                <w:sz w:val="20"/>
                <w:szCs w:val="20"/>
                <w:lang w:val="en-US"/>
              </w:rPr>
            </w:pPr>
            <w:r w:rsidRPr="00CB0859">
              <w:rPr>
                <w:sz w:val="20"/>
                <w:szCs w:val="20"/>
                <w:lang w:val="en-US"/>
              </w:rPr>
              <w:t>Position / Rank</w:t>
            </w:r>
            <w:r w:rsidR="006A30DF" w:rsidRPr="00CB0859">
              <w:rPr>
                <w:sz w:val="20"/>
                <w:szCs w:val="20"/>
                <w:vertAlign w:val="superscript"/>
                <w:lang w:val="en-US"/>
              </w:rPr>
              <w:t xml:space="preserve"> 1</w:t>
            </w:r>
          </w:p>
          <w:p w:rsidR="00784748" w:rsidRPr="00CB0859" w:rsidRDefault="00784748" w:rsidP="00CB0859">
            <w:pPr>
              <w:jc w:val="center"/>
              <w:rPr>
                <w:sz w:val="20"/>
                <w:szCs w:val="20"/>
                <w:lang w:val="en-US"/>
              </w:rPr>
            </w:pPr>
          </w:p>
        </w:tc>
        <w:tc>
          <w:tcPr>
            <w:tcW w:w="4340" w:type="dxa"/>
            <w:gridSpan w:val="2"/>
            <w:tcBorders>
              <w:top w:val="single" w:sz="4" w:space="0" w:color="auto"/>
            </w:tcBorders>
          </w:tcPr>
          <w:p w:rsidR="00784748" w:rsidRPr="00CB0859" w:rsidRDefault="00784748" w:rsidP="00CB0859">
            <w:pPr>
              <w:jc w:val="center"/>
              <w:rPr>
                <w:sz w:val="20"/>
                <w:szCs w:val="20"/>
                <w:lang w:val="en-US"/>
              </w:rPr>
            </w:pPr>
            <w:r w:rsidRPr="00CB0859">
              <w:rPr>
                <w:sz w:val="20"/>
                <w:szCs w:val="20"/>
                <w:lang w:val="en-US"/>
              </w:rPr>
              <w:t>Schedule Daily Work Hours at Sea</w:t>
            </w:r>
          </w:p>
        </w:tc>
        <w:tc>
          <w:tcPr>
            <w:tcW w:w="4689" w:type="dxa"/>
            <w:gridSpan w:val="2"/>
          </w:tcPr>
          <w:p w:rsidR="00784748" w:rsidRPr="00CB0859" w:rsidRDefault="00784748" w:rsidP="00CB0859">
            <w:pPr>
              <w:jc w:val="center"/>
              <w:rPr>
                <w:sz w:val="20"/>
                <w:szCs w:val="20"/>
                <w:lang w:val="en-US"/>
              </w:rPr>
            </w:pPr>
            <w:r w:rsidRPr="00CB0859">
              <w:rPr>
                <w:sz w:val="20"/>
                <w:szCs w:val="20"/>
                <w:lang w:val="en-US"/>
              </w:rPr>
              <w:t>Schedule Daily Work Hours in Port</w:t>
            </w:r>
          </w:p>
        </w:tc>
        <w:tc>
          <w:tcPr>
            <w:tcW w:w="2160" w:type="dxa"/>
            <w:vMerge w:val="restart"/>
          </w:tcPr>
          <w:p w:rsidR="00784748" w:rsidRPr="00CB0859" w:rsidRDefault="00784748" w:rsidP="00CB0859">
            <w:pPr>
              <w:jc w:val="center"/>
              <w:rPr>
                <w:sz w:val="20"/>
                <w:szCs w:val="20"/>
                <w:lang w:val="en-US"/>
              </w:rPr>
            </w:pPr>
          </w:p>
          <w:p w:rsidR="00784748" w:rsidRPr="00CB0859" w:rsidRDefault="00784748" w:rsidP="00CB0859">
            <w:pPr>
              <w:jc w:val="center"/>
              <w:rPr>
                <w:sz w:val="20"/>
                <w:szCs w:val="20"/>
                <w:lang w:val="en-US"/>
              </w:rPr>
            </w:pPr>
            <w:r w:rsidRPr="00CB0859">
              <w:rPr>
                <w:sz w:val="20"/>
                <w:szCs w:val="20"/>
                <w:lang w:val="en-US"/>
              </w:rPr>
              <w:t xml:space="preserve">Comments </w:t>
            </w:r>
          </w:p>
        </w:tc>
        <w:tc>
          <w:tcPr>
            <w:tcW w:w="2407" w:type="dxa"/>
            <w:gridSpan w:val="2"/>
          </w:tcPr>
          <w:p w:rsidR="00784748" w:rsidRPr="00CB0859" w:rsidRDefault="00784748" w:rsidP="00CB0859">
            <w:pPr>
              <w:jc w:val="center"/>
              <w:rPr>
                <w:sz w:val="20"/>
                <w:szCs w:val="20"/>
                <w:lang w:val="en-US"/>
              </w:rPr>
            </w:pPr>
            <w:r w:rsidRPr="00CB0859">
              <w:rPr>
                <w:sz w:val="20"/>
                <w:szCs w:val="20"/>
                <w:lang w:val="en-US"/>
              </w:rPr>
              <w:t xml:space="preserve">Total Daily Rest Hours </w:t>
            </w:r>
          </w:p>
        </w:tc>
      </w:tr>
      <w:tr w:rsidR="00DE0CB9" w:rsidRPr="00CB0859" w:rsidTr="00CB0859">
        <w:trPr>
          <w:trHeight w:val="360"/>
        </w:trPr>
        <w:tc>
          <w:tcPr>
            <w:tcW w:w="1879" w:type="dxa"/>
            <w:vMerge/>
          </w:tcPr>
          <w:p w:rsidR="00DE0CB9" w:rsidRPr="00CB0859" w:rsidRDefault="00DE0CB9" w:rsidP="00CB0859">
            <w:pPr>
              <w:jc w:val="center"/>
              <w:rPr>
                <w:sz w:val="20"/>
                <w:szCs w:val="20"/>
                <w:lang w:val="en-US"/>
              </w:rPr>
            </w:pPr>
          </w:p>
        </w:tc>
        <w:tc>
          <w:tcPr>
            <w:tcW w:w="2189" w:type="dxa"/>
            <w:tcBorders>
              <w:top w:val="nil"/>
            </w:tcBorders>
          </w:tcPr>
          <w:p w:rsidR="00DE0CB9" w:rsidRPr="00CB0859" w:rsidRDefault="00DE0CB9" w:rsidP="00CB0859">
            <w:pPr>
              <w:jc w:val="center"/>
              <w:rPr>
                <w:sz w:val="20"/>
                <w:szCs w:val="20"/>
                <w:lang w:val="en-US"/>
              </w:rPr>
            </w:pPr>
            <w:r w:rsidRPr="00CB0859">
              <w:rPr>
                <w:sz w:val="20"/>
                <w:szCs w:val="20"/>
                <w:lang w:val="en-US"/>
              </w:rPr>
              <w:t>Watch keeping</w:t>
            </w:r>
          </w:p>
          <w:p w:rsidR="00DE0CB9" w:rsidRPr="00CB0859" w:rsidRDefault="00DE0CB9" w:rsidP="00CB0859">
            <w:pPr>
              <w:jc w:val="center"/>
              <w:rPr>
                <w:sz w:val="20"/>
                <w:szCs w:val="20"/>
                <w:lang w:val="en-US"/>
              </w:rPr>
            </w:pPr>
            <w:r w:rsidRPr="00CB0859">
              <w:rPr>
                <w:sz w:val="20"/>
                <w:szCs w:val="20"/>
                <w:lang w:val="en-US"/>
              </w:rPr>
              <w:t>(from-to)</w:t>
            </w:r>
          </w:p>
          <w:p w:rsidR="00DE0CB9" w:rsidRPr="00CB0859" w:rsidRDefault="00DE0CB9" w:rsidP="00CB0859">
            <w:pPr>
              <w:jc w:val="center"/>
              <w:rPr>
                <w:sz w:val="20"/>
                <w:szCs w:val="20"/>
                <w:lang w:val="en-US"/>
              </w:rPr>
            </w:pPr>
          </w:p>
        </w:tc>
        <w:tc>
          <w:tcPr>
            <w:tcW w:w="2151" w:type="dxa"/>
            <w:tcBorders>
              <w:top w:val="nil"/>
            </w:tcBorders>
          </w:tcPr>
          <w:p w:rsidR="00DE0CB9" w:rsidRPr="00CB0859" w:rsidRDefault="00DE0CB9" w:rsidP="00CB0859">
            <w:pPr>
              <w:jc w:val="center"/>
              <w:rPr>
                <w:sz w:val="20"/>
                <w:szCs w:val="20"/>
                <w:lang w:val="en-US"/>
              </w:rPr>
            </w:pPr>
            <w:r w:rsidRPr="00CB0859">
              <w:rPr>
                <w:sz w:val="20"/>
                <w:szCs w:val="20"/>
                <w:lang w:val="en-US"/>
              </w:rPr>
              <w:t>Non –Watching Duties</w:t>
            </w:r>
          </w:p>
          <w:p w:rsidR="00DE0CB9" w:rsidRPr="00CB0859" w:rsidRDefault="00DE0CB9" w:rsidP="00CB0859">
            <w:pPr>
              <w:jc w:val="center"/>
              <w:rPr>
                <w:sz w:val="20"/>
                <w:szCs w:val="20"/>
                <w:lang w:val="en-US"/>
              </w:rPr>
            </w:pPr>
            <w:r w:rsidRPr="00CB0859">
              <w:rPr>
                <w:sz w:val="20"/>
                <w:szCs w:val="20"/>
                <w:lang w:val="en-US"/>
              </w:rPr>
              <w:t>(from – to)</w:t>
            </w:r>
            <w:r w:rsidR="006A30DF" w:rsidRPr="00CB0859">
              <w:rPr>
                <w:sz w:val="20"/>
                <w:szCs w:val="20"/>
                <w:vertAlign w:val="superscript"/>
                <w:lang w:val="en-US"/>
              </w:rPr>
              <w:t>2</w:t>
            </w:r>
          </w:p>
        </w:tc>
        <w:tc>
          <w:tcPr>
            <w:tcW w:w="2169" w:type="dxa"/>
          </w:tcPr>
          <w:p w:rsidR="00DE0CB9" w:rsidRPr="00CB0859" w:rsidRDefault="00DE0CB9" w:rsidP="00CB0859">
            <w:pPr>
              <w:jc w:val="center"/>
              <w:rPr>
                <w:sz w:val="20"/>
                <w:szCs w:val="20"/>
                <w:lang w:val="en-US"/>
              </w:rPr>
            </w:pPr>
            <w:r w:rsidRPr="00CB0859">
              <w:rPr>
                <w:sz w:val="20"/>
                <w:szCs w:val="20"/>
                <w:lang w:val="en-US"/>
              </w:rPr>
              <w:t>Watch keeping</w:t>
            </w:r>
          </w:p>
          <w:p w:rsidR="00DE0CB9" w:rsidRPr="00CB0859" w:rsidRDefault="00DE0CB9" w:rsidP="00CB0859">
            <w:pPr>
              <w:jc w:val="center"/>
              <w:rPr>
                <w:sz w:val="20"/>
                <w:szCs w:val="20"/>
                <w:lang w:val="en-US"/>
              </w:rPr>
            </w:pPr>
            <w:r w:rsidRPr="00CB0859">
              <w:rPr>
                <w:sz w:val="20"/>
                <w:szCs w:val="20"/>
                <w:lang w:val="en-US"/>
              </w:rPr>
              <w:t>(from-to)</w:t>
            </w:r>
          </w:p>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r w:rsidRPr="00CB0859">
              <w:rPr>
                <w:sz w:val="20"/>
                <w:szCs w:val="20"/>
                <w:lang w:val="en-US"/>
              </w:rPr>
              <w:t>Non –Watching Duties</w:t>
            </w:r>
          </w:p>
          <w:p w:rsidR="00DE0CB9" w:rsidRPr="00CB0859" w:rsidRDefault="00DE0CB9" w:rsidP="00CB0859">
            <w:pPr>
              <w:jc w:val="center"/>
              <w:rPr>
                <w:sz w:val="20"/>
                <w:szCs w:val="20"/>
                <w:lang w:val="en-US"/>
              </w:rPr>
            </w:pPr>
            <w:r w:rsidRPr="00CB0859">
              <w:rPr>
                <w:sz w:val="20"/>
                <w:szCs w:val="20"/>
                <w:lang w:val="en-US"/>
              </w:rPr>
              <w:t>(from – to)</w:t>
            </w:r>
            <w:r w:rsidR="006A30DF" w:rsidRPr="00CB0859">
              <w:rPr>
                <w:sz w:val="20"/>
                <w:szCs w:val="20"/>
                <w:vertAlign w:val="superscript"/>
                <w:lang w:val="en-US"/>
              </w:rPr>
              <w:t>2</w:t>
            </w:r>
          </w:p>
        </w:tc>
        <w:tc>
          <w:tcPr>
            <w:tcW w:w="2160" w:type="dxa"/>
            <w:vMerge/>
          </w:tcPr>
          <w:p w:rsidR="00DE0CB9" w:rsidRPr="00CB0859" w:rsidRDefault="00DE0CB9" w:rsidP="00CB0859">
            <w:pPr>
              <w:jc w:val="center"/>
              <w:rPr>
                <w:sz w:val="20"/>
                <w:szCs w:val="20"/>
                <w:lang w:val="en-US"/>
              </w:rPr>
            </w:pPr>
          </w:p>
        </w:tc>
        <w:tc>
          <w:tcPr>
            <w:tcW w:w="1203" w:type="dxa"/>
          </w:tcPr>
          <w:p w:rsidR="00DE0CB9" w:rsidRPr="00CB0859" w:rsidRDefault="00784748" w:rsidP="00CB0859">
            <w:pPr>
              <w:jc w:val="center"/>
              <w:rPr>
                <w:sz w:val="20"/>
                <w:szCs w:val="20"/>
                <w:lang w:val="en-US"/>
              </w:rPr>
            </w:pPr>
            <w:r w:rsidRPr="00CB0859">
              <w:rPr>
                <w:sz w:val="20"/>
                <w:szCs w:val="20"/>
                <w:lang w:val="en-US"/>
              </w:rPr>
              <w:t>At Sea</w:t>
            </w:r>
          </w:p>
        </w:tc>
        <w:tc>
          <w:tcPr>
            <w:tcW w:w="1204" w:type="dxa"/>
          </w:tcPr>
          <w:p w:rsidR="00DE0CB9" w:rsidRPr="00CB0859" w:rsidRDefault="00784748" w:rsidP="00CB0859">
            <w:pPr>
              <w:jc w:val="center"/>
              <w:rPr>
                <w:sz w:val="20"/>
                <w:szCs w:val="20"/>
                <w:lang w:val="en-US"/>
              </w:rPr>
            </w:pPr>
            <w:r w:rsidRPr="00CB0859">
              <w:rPr>
                <w:sz w:val="20"/>
                <w:szCs w:val="20"/>
                <w:lang w:val="en-US"/>
              </w:rPr>
              <w:t>In Port</w:t>
            </w: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r w:rsidR="00DE0CB9" w:rsidRPr="00CB0859" w:rsidTr="00CB0859">
        <w:tc>
          <w:tcPr>
            <w:tcW w:w="1879" w:type="dxa"/>
          </w:tcPr>
          <w:p w:rsidR="00DE0CB9" w:rsidRPr="00CB0859" w:rsidRDefault="00DE0CB9" w:rsidP="00CB0859">
            <w:pPr>
              <w:jc w:val="center"/>
              <w:rPr>
                <w:sz w:val="20"/>
                <w:szCs w:val="20"/>
                <w:lang w:val="en-US"/>
              </w:rPr>
            </w:pPr>
          </w:p>
        </w:tc>
        <w:tc>
          <w:tcPr>
            <w:tcW w:w="2189" w:type="dxa"/>
          </w:tcPr>
          <w:p w:rsidR="00DE0CB9" w:rsidRPr="00CB0859" w:rsidRDefault="00DE0CB9" w:rsidP="00CB0859">
            <w:pPr>
              <w:jc w:val="center"/>
              <w:rPr>
                <w:sz w:val="20"/>
                <w:szCs w:val="20"/>
                <w:lang w:val="en-US"/>
              </w:rPr>
            </w:pPr>
          </w:p>
        </w:tc>
        <w:tc>
          <w:tcPr>
            <w:tcW w:w="2151" w:type="dxa"/>
          </w:tcPr>
          <w:p w:rsidR="00DE0CB9" w:rsidRPr="00CB0859" w:rsidRDefault="00DE0CB9" w:rsidP="00CB0859">
            <w:pPr>
              <w:jc w:val="center"/>
              <w:rPr>
                <w:sz w:val="20"/>
                <w:szCs w:val="20"/>
                <w:lang w:val="en-US"/>
              </w:rPr>
            </w:pPr>
          </w:p>
        </w:tc>
        <w:tc>
          <w:tcPr>
            <w:tcW w:w="2169" w:type="dxa"/>
          </w:tcPr>
          <w:p w:rsidR="00DE0CB9" w:rsidRPr="00CB0859" w:rsidRDefault="00DE0CB9" w:rsidP="00CB0859">
            <w:pPr>
              <w:jc w:val="center"/>
              <w:rPr>
                <w:sz w:val="20"/>
                <w:szCs w:val="20"/>
                <w:lang w:val="en-US"/>
              </w:rPr>
            </w:pPr>
          </w:p>
        </w:tc>
        <w:tc>
          <w:tcPr>
            <w:tcW w:w="2520" w:type="dxa"/>
          </w:tcPr>
          <w:p w:rsidR="00DE0CB9" w:rsidRPr="00CB0859" w:rsidRDefault="00DE0CB9" w:rsidP="00CB0859">
            <w:pPr>
              <w:jc w:val="center"/>
              <w:rPr>
                <w:sz w:val="20"/>
                <w:szCs w:val="20"/>
                <w:lang w:val="en-US"/>
              </w:rPr>
            </w:pPr>
          </w:p>
        </w:tc>
        <w:tc>
          <w:tcPr>
            <w:tcW w:w="2160" w:type="dxa"/>
          </w:tcPr>
          <w:p w:rsidR="00DE0CB9" w:rsidRPr="00CB0859" w:rsidRDefault="00DE0CB9" w:rsidP="00CB0859">
            <w:pPr>
              <w:jc w:val="center"/>
              <w:rPr>
                <w:sz w:val="20"/>
                <w:szCs w:val="20"/>
                <w:lang w:val="en-US"/>
              </w:rPr>
            </w:pPr>
          </w:p>
        </w:tc>
        <w:tc>
          <w:tcPr>
            <w:tcW w:w="1203" w:type="dxa"/>
          </w:tcPr>
          <w:p w:rsidR="00DE0CB9" w:rsidRPr="00CB0859" w:rsidRDefault="00DE0CB9" w:rsidP="00CB0859">
            <w:pPr>
              <w:jc w:val="center"/>
              <w:rPr>
                <w:sz w:val="20"/>
                <w:szCs w:val="20"/>
                <w:lang w:val="en-US"/>
              </w:rPr>
            </w:pPr>
          </w:p>
        </w:tc>
        <w:tc>
          <w:tcPr>
            <w:tcW w:w="1204" w:type="dxa"/>
          </w:tcPr>
          <w:p w:rsidR="00DE0CB9" w:rsidRPr="00CB0859" w:rsidRDefault="00DE0CB9" w:rsidP="00CB0859">
            <w:pPr>
              <w:jc w:val="center"/>
              <w:rPr>
                <w:sz w:val="20"/>
                <w:szCs w:val="20"/>
                <w:lang w:val="en-US"/>
              </w:rPr>
            </w:pPr>
          </w:p>
        </w:tc>
      </w:tr>
    </w:tbl>
    <w:p w:rsidR="00784748" w:rsidRDefault="00784748" w:rsidP="003A3A78">
      <w:pP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441B64" w:rsidRDefault="00784748" w:rsidP="00285F0E">
      <w:pPr>
        <w:rPr>
          <w:b/>
          <w:lang w:val="en-US"/>
        </w:rPr>
      </w:pPr>
      <w:r w:rsidRPr="006A30DF">
        <w:rPr>
          <w:lang w:val="en-US"/>
        </w:rPr>
        <w:t>Signature of Master</w:t>
      </w:r>
      <w:r>
        <w:rPr>
          <w:b/>
          <w:lang w:val="en-US"/>
        </w:rPr>
        <w:t xml:space="preserve"> ______________________</w:t>
      </w:r>
      <w:r w:rsidR="006A30DF">
        <w:rPr>
          <w:b/>
          <w:lang w:val="en-US"/>
        </w:rPr>
        <w:t>_______</w:t>
      </w:r>
      <w:r>
        <w:rPr>
          <w:b/>
          <w:lang w:val="en-US"/>
        </w:rPr>
        <w:t>________________</w:t>
      </w:r>
    </w:p>
    <w:p w:rsidR="006A30DF" w:rsidRDefault="006A30DF" w:rsidP="006A30DF">
      <w:pPr>
        <w:rPr>
          <w:b/>
          <w:lang w:val="en-US"/>
        </w:rPr>
      </w:pPr>
    </w:p>
    <w:p w:rsidR="00784748" w:rsidRPr="00784748" w:rsidRDefault="00784748" w:rsidP="00784748">
      <w:pPr>
        <w:rPr>
          <w:sz w:val="20"/>
          <w:szCs w:val="20"/>
          <w:lang w:val="en-US"/>
        </w:rPr>
      </w:pPr>
      <w:r w:rsidRPr="006A30DF">
        <w:rPr>
          <w:sz w:val="20"/>
          <w:szCs w:val="20"/>
          <w:vertAlign w:val="superscript"/>
          <w:lang w:val="en-US"/>
        </w:rPr>
        <w:t xml:space="preserve">1 </w:t>
      </w:r>
      <w:r w:rsidRPr="00784748">
        <w:rPr>
          <w:sz w:val="20"/>
          <w:szCs w:val="20"/>
          <w:lang w:val="en-US"/>
        </w:rPr>
        <w:t xml:space="preserve">Terminology used should be the same as listed in other documents such as the Minimum Safe Manning Certificate or the Station Bill </w:t>
      </w:r>
    </w:p>
    <w:p w:rsidR="002F746A" w:rsidRDefault="00784748" w:rsidP="00784748">
      <w:pPr>
        <w:rPr>
          <w:sz w:val="20"/>
          <w:szCs w:val="20"/>
          <w:lang w:val="en-US"/>
        </w:rPr>
      </w:pPr>
      <w:r w:rsidRPr="006A30DF">
        <w:rPr>
          <w:sz w:val="20"/>
          <w:szCs w:val="20"/>
          <w:vertAlign w:val="superscript"/>
          <w:lang w:val="en-US"/>
        </w:rPr>
        <w:t>2</w:t>
      </w:r>
      <w:r w:rsidRPr="00784748">
        <w:rPr>
          <w:sz w:val="20"/>
          <w:szCs w:val="20"/>
          <w:lang w:val="en-US"/>
        </w:rPr>
        <w:t xml:space="preserve"> For watch keeping personnel, the comments section may be used to indicate </w:t>
      </w:r>
      <w:r w:rsidR="002F746A" w:rsidRPr="00784748">
        <w:rPr>
          <w:sz w:val="20"/>
          <w:szCs w:val="20"/>
          <w:lang w:val="en-US"/>
        </w:rPr>
        <w:t xml:space="preserve">anticipated </w:t>
      </w:r>
      <w:r w:rsidR="002F746A">
        <w:rPr>
          <w:sz w:val="20"/>
          <w:szCs w:val="20"/>
          <w:lang w:val="en-US"/>
        </w:rPr>
        <w:t>hours</w:t>
      </w:r>
      <w:r w:rsidRPr="00784748">
        <w:rPr>
          <w:sz w:val="20"/>
          <w:szCs w:val="20"/>
          <w:lang w:val="en-US"/>
        </w:rPr>
        <w:t xml:space="preserve"> that may be devoted to unscheduled work, and any such hours should be included when </w:t>
      </w:r>
      <w:r w:rsidR="002F746A">
        <w:rPr>
          <w:sz w:val="20"/>
          <w:szCs w:val="20"/>
          <w:lang w:val="en-US"/>
        </w:rPr>
        <w:t xml:space="preserve"> </w:t>
      </w:r>
      <w:r w:rsidRPr="00784748">
        <w:rPr>
          <w:sz w:val="20"/>
          <w:szCs w:val="20"/>
          <w:lang w:val="en-US"/>
        </w:rPr>
        <w:t>recording the total daily rest hours column.</w:t>
      </w:r>
      <w:r w:rsidR="00276F5F">
        <w:rPr>
          <w:sz w:val="20"/>
          <w:szCs w:val="20"/>
          <w:lang w:val="en-US"/>
        </w:rPr>
        <w:t xml:space="preserve">                    </w:t>
      </w:r>
      <w:r w:rsidR="00276F5F" w:rsidRPr="00276F5F">
        <w:rPr>
          <w:sz w:val="20"/>
          <w:szCs w:val="20"/>
          <w:lang w:val="en-US"/>
        </w:rPr>
        <w:t xml:space="preserve"> </w:t>
      </w:r>
    </w:p>
    <w:p w:rsidR="00784748" w:rsidRDefault="00276F5F" w:rsidP="00784748">
      <w:pPr>
        <w:rPr>
          <w:sz w:val="20"/>
          <w:szCs w:val="20"/>
          <w:lang w:val="en-US"/>
        </w:rPr>
      </w:pPr>
      <w:r w:rsidRPr="00276F5F">
        <w:rPr>
          <w:sz w:val="20"/>
          <w:szCs w:val="20"/>
          <w:lang w:val="en-US"/>
        </w:rPr>
        <w:t xml:space="preserve">3) The terms used in this model table are to </w:t>
      </w:r>
      <w:r w:rsidR="00DC5DFE" w:rsidRPr="00276F5F">
        <w:rPr>
          <w:sz w:val="20"/>
          <w:szCs w:val="20"/>
          <w:lang w:val="en-US"/>
        </w:rPr>
        <w:t>appear</w:t>
      </w:r>
      <w:r w:rsidR="00DC5DFE">
        <w:rPr>
          <w:sz w:val="20"/>
          <w:szCs w:val="20"/>
          <w:lang w:val="en-US"/>
        </w:rPr>
        <w:t xml:space="preserve"> in</w:t>
      </w:r>
      <w:r w:rsidRPr="00276F5F">
        <w:rPr>
          <w:sz w:val="20"/>
          <w:szCs w:val="20"/>
          <w:lang w:val="en-US"/>
        </w:rPr>
        <w:t xml:space="preserve"> the working language or languages of the ship and in English.</w:t>
      </w:r>
    </w:p>
    <w:p w:rsidR="00D8201A" w:rsidRDefault="00D8201A" w:rsidP="00784748">
      <w:pPr>
        <w:rPr>
          <w:sz w:val="20"/>
          <w:szCs w:val="20"/>
          <w:lang w:val="en-US"/>
        </w:rPr>
      </w:pPr>
      <w:bookmarkStart w:id="0" w:name="_GoBack"/>
      <w:bookmarkEnd w:id="0"/>
    </w:p>
    <w:p w:rsidR="00D8201A" w:rsidRDefault="00D8201A" w:rsidP="00784748">
      <w:pPr>
        <w:rPr>
          <w:sz w:val="20"/>
          <w:szCs w:val="20"/>
          <w:lang w:val="en-US"/>
        </w:rPr>
      </w:pPr>
    </w:p>
    <w:p w:rsidR="00D8201A" w:rsidRDefault="00D8201A" w:rsidP="00784748">
      <w:pPr>
        <w:rPr>
          <w:sz w:val="20"/>
          <w:szCs w:val="20"/>
          <w:lang w:val="en-US"/>
        </w:rPr>
      </w:pPr>
    </w:p>
    <w:p w:rsidR="00D8201A" w:rsidRDefault="00D8201A" w:rsidP="00784748">
      <w:pPr>
        <w:rPr>
          <w:sz w:val="20"/>
          <w:szCs w:val="20"/>
          <w:lang w:val="en-US"/>
        </w:rPr>
      </w:pPr>
    </w:p>
    <w:p w:rsidR="00D8201A" w:rsidRDefault="00D8201A" w:rsidP="00784748">
      <w:pPr>
        <w:rPr>
          <w:sz w:val="20"/>
          <w:szCs w:val="20"/>
          <w:lang w:val="en-US"/>
        </w:rPr>
      </w:pPr>
    </w:p>
    <w:p w:rsidR="000C0AE8" w:rsidRPr="00C1285C" w:rsidRDefault="00B171E9" w:rsidP="002F1D24">
      <w:pPr>
        <w:jc w:val="center"/>
        <w:rPr>
          <w:b/>
          <w:sz w:val="28"/>
          <w:szCs w:val="28"/>
          <w:lang w:val="en-US"/>
        </w:rPr>
      </w:pPr>
      <w:r w:rsidRPr="00C1285C">
        <w:rPr>
          <w:b/>
          <w:sz w:val="28"/>
          <w:szCs w:val="28"/>
          <w:lang w:val="en-US"/>
        </w:rPr>
        <w:lastRenderedPageBreak/>
        <w:t>SELECTED TEXTS FROM ILO MARITIME LABOUR CONVENTION, 2006 (MLC, 2006)</w:t>
      </w:r>
    </w:p>
    <w:p w:rsidR="000C0AE8" w:rsidRPr="007324AC" w:rsidRDefault="000C0AE8" w:rsidP="000C0AE8">
      <w:pPr>
        <w:autoSpaceDE w:val="0"/>
        <w:autoSpaceDN w:val="0"/>
        <w:adjustRightInd w:val="0"/>
        <w:rPr>
          <w:rFonts w:ascii="TradeGothic-BoldOblique" w:hAnsi="TradeGothic-BoldOblique" w:cs="TradeGothic-BoldOblique"/>
          <w:b/>
          <w:bCs/>
          <w:iCs/>
          <w:sz w:val="18"/>
          <w:szCs w:val="18"/>
          <w:lang w:val="en-US" w:eastAsia="en-US"/>
        </w:rPr>
      </w:pPr>
      <w:r w:rsidRPr="007324AC">
        <w:rPr>
          <w:rFonts w:ascii="TradeGothic-BoldOblique" w:hAnsi="TradeGothic-BoldOblique" w:cs="TradeGothic-BoldOblique"/>
          <w:b/>
          <w:bCs/>
          <w:iCs/>
          <w:sz w:val="18"/>
          <w:szCs w:val="18"/>
          <w:lang w:val="en-US" w:eastAsia="en-US"/>
        </w:rPr>
        <w:t>Regulation 2.3 – Hours of work and hours of rest</w:t>
      </w:r>
    </w:p>
    <w:p w:rsidR="000C0AE8" w:rsidRPr="007324AC" w:rsidRDefault="000C0AE8" w:rsidP="000C0AE8">
      <w:pPr>
        <w:autoSpaceDE w:val="0"/>
        <w:autoSpaceDN w:val="0"/>
        <w:adjustRightInd w:val="0"/>
        <w:rPr>
          <w:rFonts w:ascii="TradeGothic-Oblique" w:hAnsi="TradeGothic-Oblique" w:cs="TradeGothic-Oblique"/>
          <w:i/>
          <w:iCs/>
          <w:sz w:val="18"/>
          <w:szCs w:val="18"/>
          <w:lang w:val="en-US" w:eastAsia="en-US"/>
        </w:rPr>
      </w:pPr>
      <w:r w:rsidRPr="007324AC">
        <w:rPr>
          <w:rFonts w:ascii="TradeGothic-Oblique" w:hAnsi="TradeGothic-Oblique" w:cs="TradeGothic-Oblique"/>
          <w:i/>
          <w:iCs/>
          <w:sz w:val="18"/>
          <w:szCs w:val="18"/>
          <w:lang w:val="en-US" w:eastAsia="en-US"/>
        </w:rPr>
        <w:t>Standard A2.3 – Hours of work and hours of rest</w:t>
      </w:r>
    </w:p>
    <w:p w:rsidR="00C1285C" w:rsidRPr="007324AC" w:rsidRDefault="00C1285C" w:rsidP="000C0AE8">
      <w:pPr>
        <w:autoSpaceDE w:val="0"/>
        <w:autoSpaceDN w:val="0"/>
        <w:adjustRightInd w:val="0"/>
        <w:rPr>
          <w:rFonts w:ascii="TradeGothic-Oblique" w:hAnsi="TradeGothic-Oblique" w:cs="TradeGothic-Oblique"/>
          <w:i/>
          <w:iCs/>
          <w:sz w:val="18"/>
          <w:szCs w:val="18"/>
          <w:lang w:val="en-US" w:eastAsia="en-US"/>
        </w:rPr>
      </w:pP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Each Member acknowledges that the normal working hours’ standard for</w:t>
      </w:r>
      <w:r w:rsidR="00B171E9"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seafarers, like that for other workers, shall be based on an eight-hour day with one day</w:t>
      </w:r>
      <w:r w:rsidR="00C1285C"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 xml:space="preserve">of </w:t>
      </w:r>
      <w:r w:rsidR="002F1D24"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rest per week and rest on public holidays. However, this shall not prevent the</w:t>
      </w:r>
      <w:r w:rsidR="00B171E9"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Member from having procedures to authorize or register a collective agreement which</w:t>
      </w:r>
      <w:r w:rsidR="00C1285C"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determines seafarers’ normal working hours on a bas</w:t>
      </w:r>
      <w:r w:rsidR="00B171E9" w:rsidRPr="007324AC">
        <w:rPr>
          <w:rFonts w:ascii="TimesTen-Roman" w:hAnsi="TimesTen-Roman" w:cs="TimesTen-Roman"/>
          <w:sz w:val="18"/>
          <w:szCs w:val="18"/>
          <w:lang w:val="en-US" w:eastAsia="en-US"/>
        </w:rPr>
        <w:t xml:space="preserve">is no less favorable than this </w:t>
      </w:r>
      <w:r w:rsidRPr="007324AC">
        <w:rPr>
          <w:rFonts w:ascii="TimesTen-Roman" w:hAnsi="TimesTen-Roman" w:cs="TimesTen-Roman"/>
          <w:sz w:val="18"/>
          <w:szCs w:val="18"/>
          <w:lang w:val="en-US" w:eastAsia="en-US"/>
        </w:rPr>
        <w:t>standard.</w:t>
      </w:r>
    </w:p>
    <w:p w:rsidR="00B171E9" w:rsidRPr="007324AC" w:rsidRDefault="00B171E9" w:rsidP="000C0AE8">
      <w:pPr>
        <w:autoSpaceDE w:val="0"/>
        <w:autoSpaceDN w:val="0"/>
        <w:adjustRightInd w:val="0"/>
        <w:rPr>
          <w:rFonts w:ascii="TimesTen-Roman" w:hAnsi="TimesTen-Roman" w:cs="TimesTen-Roman"/>
          <w:sz w:val="18"/>
          <w:szCs w:val="18"/>
          <w:lang w:val="en-US" w:eastAsia="en-US"/>
        </w:rPr>
      </w:pPr>
    </w:p>
    <w:p w:rsidR="000C0AE8" w:rsidRPr="007324AC" w:rsidRDefault="000C0AE8" w:rsidP="000C0AE8">
      <w:pPr>
        <w:autoSpaceDE w:val="0"/>
        <w:autoSpaceDN w:val="0"/>
        <w:adjustRightInd w:val="0"/>
        <w:rPr>
          <w:rFonts w:ascii="TimesTen-Roman" w:hAnsi="TimesTen-Roman" w:cs="TimesTen-Roman"/>
          <w:b/>
          <w:i/>
          <w:sz w:val="18"/>
          <w:szCs w:val="18"/>
          <w:u w:val="single"/>
          <w:lang w:val="en-US" w:eastAsia="en-US"/>
        </w:rPr>
      </w:pPr>
      <w:r w:rsidRPr="007324AC">
        <w:rPr>
          <w:rFonts w:ascii="TimesTen-Roman" w:hAnsi="TimesTen-Roman" w:cs="TimesTen-Roman"/>
          <w:sz w:val="18"/>
          <w:szCs w:val="18"/>
          <w:lang w:val="en-US" w:eastAsia="en-US"/>
        </w:rPr>
        <w:t xml:space="preserve"> </w:t>
      </w:r>
      <w:r w:rsidRPr="007324AC">
        <w:rPr>
          <w:rFonts w:ascii="TimesTen-Roman" w:hAnsi="TimesTen-Roman" w:cs="TimesTen-Roman"/>
          <w:b/>
          <w:i/>
          <w:sz w:val="18"/>
          <w:szCs w:val="18"/>
          <w:u w:val="single"/>
          <w:lang w:val="en-US" w:eastAsia="en-US"/>
        </w:rPr>
        <w:t>The limits on hours of work or rest shall be as follows:</w:t>
      </w:r>
    </w:p>
    <w:p w:rsidR="000C0AE8" w:rsidRPr="007324AC" w:rsidRDefault="00D92A1B"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 xml:space="preserve"> </w:t>
      </w:r>
      <w:r w:rsidR="000C0AE8" w:rsidRPr="007324AC">
        <w:rPr>
          <w:rFonts w:ascii="TimesTen-Roman" w:hAnsi="TimesTen-Roman" w:cs="TimesTen-Roman"/>
          <w:sz w:val="18"/>
          <w:szCs w:val="18"/>
          <w:lang w:val="en-US" w:eastAsia="en-US"/>
        </w:rPr>
        <w:t>(b) minimum hours of rest shall not be less than:</w:t>
      </w: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(i) ten hours in any 24-hour period; and</w:t>
      </w: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(ii) 77 hours in any seven-day period.</w:t>
      </w: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 xml:space="preserve">Hours of </w:t>
      </w:r>
      <w:r w:rsidR="002F1D24"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rest may be divided into no more than two periods, one of which</w:t>
      </w:r>
      <w:r w:rsidR="00B171E9"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shall be at least six hours in length, and the interval between consecutive periods of rest</w:t>
      </w:r>
      <w:r w:rsidR="00C1285C"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shall not exceed 14 hours.</w:t>
      </w: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Nothing in this Standard shall be deemed to impair the right of the master</w:t>
      </w:r>
      <w:r w:rsidR="002F1D24"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of a ship to require a seafarer to perform any hours of work necessary for the immediate</w:t>
      </w: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safety of the ship, persons on board or cargo, or for the purpose of giving assistance</w:t>
      </w:r>
      <w:r w:rsidR="002F1D24"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to other ships or persons in distress at sea. Accordingly, the master may suspend the</w:t>
      </w: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schedule of hours of work or hours of rest and require a seafarer to perform any hours</w:t>
      </w:r>
      <w:r w:rsidR="002F1D24"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of work necessary until the normal situation has been restored. As soon as practicable</w:t>
      </w:r>
    </w:p>
    <w:p w:rsidR="000C0AE8" w:rsidRPr="007324AC" w:rsidRDefault="000C0AE8" w:rsidP="000C0AE8">
      <w:pPr>
        <w:autoSpaceDE w:val="0"/>
        <w:autoSpaceDN w:val="0"/>
        <w:adjustRightInd w:val="0"/>
        <w:rPr>
          <w:rFonts w:ascii="TimesTen-Roman" w:hAnsi="TimesTen-Roman" w:cs="TimesTen-Roman"/>
          <w:sz w:val="18"/>
          <w:szCs w:val="18"/>
          <w:lang w:val="en-US" w:eastAsia="en-US"/>
        </w:rPr>
      </w:pPr>
      <w:r w:rsidRPr="007324AC">
        <w:rPr>
          <w:rFonts w:ascii="TimesTen-Roman" w:hAnsi="TimesTen-Roman" w:cs="TimesTen-Roman"/>
          <w:sz w:val="18"/>
          <w:szCs w:val="18"/>
          <w:lang w:val="en-US" w:eastAsia="en-US"/>
        </w:rPr>
        <w:t>after the normal situation has been restored, the master shall ensure that any seafarers</w:t>
      </w:r>
      <w:r w:rsidR="002F1D24"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who have performed work in a scheduled rest period are provided with an adequate</w:t>
      </w:r>
      <w:r w:rsidR="00C1285C" w:rsidRPr="007324AC">
        <w:rPr>
          <w:rFonts w:ascii="TimesTen-Roman" w:hAnsi="TimesTen-Roman" w:cs="TimesTen-Roman"/>
          <w:sz w:val="18"/>
          <w:szCs w:val="18"/>
          <w:lang w:val="en-US" w:eastAsia="en-US"/>
        </w:rPr>
        <w:t xml:space="preserve"> </w:t>
      </w:r>
      <w:r w:rsidRPr="007324AC">
        <w:rPr>
          <w:rFonts w:ascii="TimesTen-Roman" w:hAnsi="TimesTen-Roman" w:cs="TimesTen-Roman"/>
          <w:sz w:val="18"/>
          <w:szCs w:val="18"/>
          <w:lang w:val="en-US" w:eastAsia="en-US"/>
        </w:rPr>
        <w:t>period of rest.</w:t>
      </w:r>
    </w:p>
    <w:p w:rsidR="00C1285C" w:rsidRDefault="00C1285C" w:rsidP="000C0AE8">
      <w:pPr>
        <w:autoSpaceDE w:val="0"/>
        <w:autoSpaceDN w:val="0"/>
        <w:adjustRightInd w:val="0"/>
        <w:rPr>
          <w:rFonts w:ascii="TimesTen-Roman" w:hAnsi="TimesTen-Roman" w:cs="TimesTen-Roman"/>
          <w:sz w:val="16"/>
          <w:szCs w:val="16"/>
          <w:lang w:val="en-US" w:eastAsia="en-US"/>
        </w:rPr>
      </w:pPr>
    </w:p>
    <w:p w:rsidR="00B17849" w:rsidRPr="007324AC" w:rsidRDefault="00B17849" w:rsidP="00B17849">
      <w:pPr>
        <w:autoSpaceDE w:val="0"/>
        <w:autoSpaceDN w:val="0"/>
        <w:adjustRightInd w:val="0"/>
        <w:rPr>
          <w:b/>
          <w:bCs/>
          <w:sz w:val="18"/>
          <w:szCs w:val="18"/>
          <w:lang w:val="en-US" w:eastAsia="en-US"/>
        </w:rPr>
      </w:pPr>
      <w:r w:rsidRPr="007324AC">
        <w:rPr>
          <w:b/>
          <w:bCs/>
          <w:sz w:val="18"/>
          <w:szCs w:val="18"/>
          <w:lang w:val="en-US" w:eastAsia="en-US"/>
        </w:rPr>
        <w:t>STCW CHAPTER VIII</w:t>
      </w:r>
    </w:p>
    <w:p w:rsidR="00B17849" w:rsidRPr="007324AC" w:rsidRDefault="00B17849" w:rsidP="00B17849">
      <w:pPr>
        <w:autoSpaceDE w:val="0"/>
        <w:autoSpaceDN w:val="0"/>
        <w:adjustRightInd w:val="0"/>
        <w:rPr>
          <w:b/>
          <w:bCs/>
          <w:sz w:val="18"/>
          <w:szCs w:val="18"/>
          <w:lang w:val="en-US" w:eastAsia="en-US"/>
        </w:rPr>
      </w:pPr>
      <w:r w:rsidRPr="007324AC">
        <w:rPr>
          <w:b/>
          <w:bCs/>
          <w:sz w:val="18"/>
          <w:szCs w:val="18"/>
          <w:lang w:val="en-US" w:eastAsia="en-US"/>
        </w:rPr>
        <w:t>Standards regarding watchkeeping</w:t>
      </w:r>
    </w:p>
    <w:p w:rsidR="00B17849" w:rsidRPr="007324AC" w:rsidRDefault="00B17849" w:rsidP="00B17849">
      <w:pPr>
        <w:autoSpaceDE w:val="0"/>
        <w:autoSpaceDN w:val="0"/>
        <w:adjustRightInd w:val="0"/>
        <w:rPr>
          <w:b/>
          <w:bCs/>
          <w:sz w:val="18"/>
          <w:szCs w:val="18"/>
          <w:lang w:val="en-US" w:eastAsia="en-US"/>
        </w:rPr>
      </w:pPr>
      <w:r w:rsidRPr="007324AC">
        <w:rPr>
          <w:b/>
          <w:bCs/>
          <w:sz w:val="18"/>
          <w:szCs w:val="18"/>
          <w:lang w:val="en-US" w:eastAsia="en-US"/>
        </w:rPr>
        <w:t>Section A-VIII/1</w:t>
      </w:r>
    </w:p>
    <w:p w:rsidR="00B17849" w:rsidRPr="007324AC" w:rsidRDefault="00B17849" w:rsidP="00B17849">
      <w:pPr>
        <w:autoSpaceDE w:val="0"/>
        <w:autoSpaceDN w:val="0"/>
        <w:adjustRightInd w:val="0"/>
        <w:rPr>
          <w:i/>
          <w:iCs/>
          <w:sz w:val="18"/>
          <w:szCs w:val="18"/>
          <w:lang w:val="en-US" w:eastAsia="en-US"/>
        </w:rPr>
      </w:pPr>
      <w:r w:rsidRPr="007324AC">
        <w:rPr>
          <w:i/>
          <w:iCs/>
          <w:sz w:val="18"/>
          <w:szCs w:val="18"/>
          <w:lang w:val="en-US" w:eastAsia="en-US"/>
        </w:rPr>
        <w:t>Fitness for duty</w:t>
      </w:r>
    </w:p>
    <w:p w:rsidR="00B17849" w:rsidRPr="007324AC" w:rsidRDefault="00B17849" w:rsidP="00B17849">
      <w:pPr>
        <w:autoSpaceDE w:val="0"/>
        <w:autoSpaceDN w:val="0"/>
        <w:adjustRightInd w:val="0"/>
        <w:rPr>
          <w:sz w:val="18"/>
          <w:szCs w:val="18"/>
          <w:lang w:val="en-US" w:eastAsia="en-US"/>
        </w:rPr>
      </w:pPr>
      <w:r w:rsidRPr="007324AC">
        <w:rPr>
          <w:sz w:val="18"/>
          <w:szCs w:val="18"/>
          <w:lang w:val="en-US" w:eastAsia="en-US"/>
        </w:rPr>
        <w:t>All persons who are assigned duty as officer in charge of a watch or as a rating forming part of a watch and those whose duties involve designated safety, prevention of pollution and</w:t>
      </w:r>
      <w:r w:rsidR="004778B7" w:rsidRPr="007324AC">
        <w:rPr>
          <w:sz w:val="18"/>
          <w:szCs w:val="18"/>
          <w:lang w:val="en-US" w:eastAsia="en-US"/>
        </w:rPr>
        <w:t xml:space="preserve"> </w:t>
      </w:r>
      <w:r w:rsidRPr="007324AC">
        <w:rPr>
          <w:sz w:val="18"/>
          <w:szCs w:val="18"/>
          <w:lang w:val="en-US" w:eastAsia="en-US"/>
        </w:rPr>
        <w:t>security duties shall be provided with a rest period of not less than:</w:t>
      </w:r>
    </w:p>
    <w:p w:rsidR="004778B7" w:rsidRPr="007324AC" w:rsidRDefault="004778B7" w:rsidP="00B17849">
      <w:pPr>
        <w:autoSpaceDE w:val="0"/>
        <w:autoSpaceDN w:val="0"/>
        <w:adjustRightInd w:val="0"/>
        <w:rPr>
          <w:sz w:val="18"/>
          <w:szCs w:val="18"/>
          <w:lang w:val="en-US" w:eastAsia="en-US"/>
        </w:rPr>
      </w:pPr>
    </w:p>
    <w:p w:rsidR="00B17849" w:rsidRPr="007324AC" w:rsidRDefault="00B17849" w:rsidP="00B17849">
      <w:pPr>
        <w:autoSpaceDE w:val="0"/>
        <w:autoSpaceDN w:val="0"/>
        <w:adjustRightInd w:val="0"/>
        <w:rPr>
          <w:sz w:val="18"/>
          <w:szCs w:val="18"/>
          <w:lang w:val="en-US" w:eastAsia="en-US"/>
        </w:rPr>
      </w:pPr>
      <w:r w:rsidRPr="007324AC">
        <w:rPr>
          <w:sz w:val="18"/>
          <w:szCs w:val="18"/>
          <w:lang w:val="en-US" w:eastAsia="en-US"/>
        </w:rPr>
        <w:t>.1   a minimum of 10 hours of rest in any 24-hour period; and</w:t>
      </w:r>
    </w:p>
    <w:p w:rsidR="00B17849" w:rsidRPr="007324AC" w:rsidRDefault="00B17849" w:rsidP="00B17849">
      <w:pPr>
        <w:autoSpaceDE w:val="0"/>
        <w:autoSpaceDN w:val="0"/>
        <w:adjustRightInd w:val="0"/>
        <w:rPr>
          <w:sz w:val="18"/>
          <w:szCs w:val="18"/>
          <w:lang w:val="en-US" w:eastAsia="en-US"/>
        </w:rPr>
      </w:pPr>
      <w:r w:rsidRPr="007324AC">
        <w:rPr>
          <w:sz w:val="18"/>
          <w:szCs w:val="18"/>
          <w:lang w:val="en-US" w:eastAsia="en-US"/>
        </w:rPr>
        <w:t>.2   77 hours in any 7-day period.</w:t>
      </w:r>
    </w:p>
    <w:p w:rsidR="004778B7" w:rsidRPr="007324AC" w:rsidRDefault="004778B7" w:rsidP="00B17849">
      <w:pPr>
        <w:autoSpaceDE w:val="0"/>
        <w:autoSpaceDN w:val="0"/>
        <w:adjustRightInd w:val="0"/>
        <w:rPr>
          <w:sz w:val="18"/>
          <w:szCs w:val="18"/>
          <w:lang w:val="en-US" w:eastAsia="en-US"/>
        </w:rPr>
      </w:pPr>
    </w:p>
    <w:p w:rsidR="00B17849" w:rsidRPr="007324AC" w:rsidRDefault="00B17849" w:rsidP="00B17849">
      <w:pPr>
        <w:autoSpaceDE w:val="0"/>
        <w:autoSpaceDN w:val="0"/>
        <w:adjustRightInd w:val="0"/>
        <w:rPr>
          <w:sz w:val="18"/>
          <w:szCs w:val="18"/>
          <w:lang w:val="en-US" w:eastAsia="en-US"/>
        </w:rPr>
      </w:pPr>
      <w:r w:rsidRPr="007324AC">
        <w:rPr>
          <w:sz w:val="18"/>
          <w:szCs w:val="18"/>
          <w:lang w:val="en-US" w:eastAsia="en-US"/>
        </w:rPr>
        <w:t>The hours of rest may be divided into no more than two periods, one of which shall be</w:t>
      </w:r>
      <w:r w:rsidR="004778B7" w:rsidRPr="007324AC">
        <w:rPr>
          <w:sz w:val="18"/>
          <w:szCs w:val="18"/>
          <w:lang w:val="en-US" w:eastAsia="en-US"/>
        </w:rPr>
        <w:t xml:space="preserve"> </w:t>
      </w:r>
      <w:r w:rsidRPr="007324AC">
        <w:rPr>
          <w:sz w:val="18"/>
          <w:szCs w:val="18"/>
          <w:lang w:val="en-US" w:eastAsia="en-US"/>
        </w:rPr>
        <w:t>at least 6 hours in length, and the intervals between consecutive periods of rest shall not</w:t>
      </w:r>
      <w:r w:rsidR="004778B7" w:rsidRPr="007324AC">
        <w:rPr>
          <w:sz w:val="18"/>
          <w:szCs w:val="18"/>
          <w:lang w:val="en-US" w:eastAsia="en-US"/>
        </w:rPr>
        <w:t xml:space="preserve"> </w:t>
      </w:r>
      <w:r w:rsidRPr="007324AC">
        <w:rPr>
          <w:sz w:val="18"/>
          <w:szCs w:val="18"/>
          <w:lang w:val="en-US" w:eastAsia="en-US"/>
        </w:rPr>
        <w:t>exceed 14 hours.</w:t>
      </w:r>
    </w:p>
    <w:p w:rsidR="00B17849" w:rsidRPr="007324AC" w:rsidRDefault="00B17849" w:rsidP="00B17849">
      <w:pPr>
        <w:autoSpaceDE w:val="0"/>
        <w:autoSpaceDN w:val="0"/>
        <w:adjustRightInd w:val="0"/>
        <w:rPr>
          <w:sz w:val="18"/>
          <w:szCs w:val="18"/>
          <w:lang w:val="en-US" w:eastAsia="en-US"/>
        </w:rPr>
      </w:pPr>
      <w:r w:rsidRPr="007324AC">
        <w:rPr>
          <w:sz w:val="18"/>
          <w:szCs w:val="18"/>
          <w:lang w:val="en-US" w:eastAsia="en-US"/>
        </w:rPr>
        <w:t>The requirements for  rest periods laid down in paragraphs 2 and 3 need not be maintained in the case of an emergency or in other overriding operational conditions. Musters, fire-fighting and lifeboat drills, and drills prescribed by national laws and regulations and by international instruments, shall be conducted in a manner that minimizes the disturbance of rest periods and does not induce fatigue.</w:t>
      </w:r>
    </w:p>
    <w:p w:rsidR="00B17849" w:rsidRPr="007324AC" w:rsidRDefault="00C1285C" w:rsidP="00B17849">
      <w:pPr>
        <w:autoSpaceDE w:val="0"/>
        <w:autoSpaceDN w:val="0"/>
        <w:adjustRightInd w:val="0"/>
        <w:rPr>
          <w:sz w:val="18"/>
          <w:szCs w:val="18"/>
          <w:lang w:val="en-US" w:eastAsia="en-US"/>
        </w:rPr>
      </w:pPr>
      <w:r w:rsidRPr="007324AC">
        <w:rPr>
          <w:sz w:val="18"/>
          <w:szCs w:val="18"/>
          <w:lang w:val="en-US" w:eastAsia="en-US"/>
        </w:rPr>
        <w:t>W</w:t>
      </w:r>
      <w:r w:rsidR="00B17849" w:rsidRPr="007324AC">
        <w:rPr>
          <w:sz w:val="18"/>
          <w:szCs w:val="18"/>
          <w:lang w:val="en-US" w:eastAsia="en-US"/>
        </w:rPr>
        <w:t xml:space="preserve">atch schedules </w:t>
      </w:r>
      <w:r w:rsidRPr="007324AC">
        <w:rPr>
          <w:sz w:val="18"/>
          <w:szCs w:val="18"/>
          <w:lang w:val="en-US" w:eastAsia="en-US"/>
        </w:rPr>
        <w:t xml:space="preserve">must </w:t>
      </w:r>
      <w:r w:rsidR="00B17849" w:rsidRPr="007324AC">
        <w:rPr>
          <w:sz w:val="18"/>
          <w:szCs w:val="18"/>
          <w:lang w:val="en-US" w:eastAsia="en-US"/>
        </w:rPr>
        <w:t xml:space="preserve">be posted where they are easily </w:t>
      </w:r>
      <w:r w:rsidRPr="007324AC">
        <w:rPr>
          <w:sz w:val="18"/>
          <w:szCs w:val="18"/>
          <w:lang w:val="en-US" w:eastAsia="en-US"/>
        </w:rPr>
        <w:t xml:space="preserve">accessible, </w:t>
      </w:r>
      <w:r w:rsidR="00B17849" w:rsidRPr="007324AC">
        <w:rPr>
          <w:sz w:val="18"/>
          <w:szCs w:val="18"/>
          <w:lang w:val="en-US" w:eastAsia="en-US"/>
        </w:rPr>
        <w:t>in a standardized format* in the working language or languages of the ship and in English.</w:t>
      </w:r>
    </w:p>
    <w:p w:rsidR="00B17849" w:rsidRPr="007324AC" w:rsidRDefault="00B17849" w:rsidP="00B17849">
      <w:pPr>
        <w:autoSpaceDE w:val="0"/>
        <w:autoSpaceDN w:val="0"/>
        <w:adjustRightInd w:val="0"/>
        <w:rPr>
          <w:sz w:val="18"/>
          <w:szCs w:val="18"/>
          <w:lang w:val="en-US" w:eastAsia="en-US"/>
        </w:rPr>
      </w:pPr>
      <w:r w:rsidRPr="007324AC">
        <w:rPr>
          <w:sz w:val="18"/>
          <w:szCs w:val="18"/>
          <w:lang w:val="en-US" w:eastAsia="en-US"/>
        </w:rPr>
        <w:t>When a seafarer is on call, such as when a machinery space is unattended, the seafarer  shall have an adequate compensatory rest period if the normal period of rest is disturbed by call-outs to work.</w:t>
      </w:r>
    </w:p>
    <w:p w:rsidR="00B17849" w:rsidRPr="007324AC" w:rsidRDefault="00B17849" w:rsidP="00B17849">
      <w:pPr>
        <w:autoSpaceDE w:val="0"/>
        <w:autoSpaceDN w:val="0"/>
        <w:adjustRightInd w:val="0"/>
        <w:rPr>
          <w:sz w:val="18"/>
          <w:szCs w:val="18"/>
          <w:lang w:val="en-US" w:eastAsia="en-US"/>
        </w:rPr>
      </w:pPr>
      <w:r w:rsidRPr="007324AC">
        <w:rPr>
          <w:sz w:val="18"/>
          <w:szCs w:val="18"/>
          <w:lang w:val="en-US" w:eastAsia="en-US"/>
        </w:rPr>
        <w:t>Nothing in this section shall be deemed to impair the right of the master of a ship to require a seafarer to perform any hours of work necessary for the immediate safety of the ship, persons on board or cargo, or for the purpose of giving assistance to other ships or persons in distress at sea. Accordingly, the master may suspend the schedule of hours of rest and require a seafarer to perform any hours of work necessary until the normal situation has been restored.</w:t>
      </w:r>
      <w:r w:rsidR="00C1285C" w:rsidRPr="007324AC">
        <w:rPr>
          <w:sz w:val="18"/>
          <w:szCs w:val="18"/>
          <w:lang w:val="en-US" w:eastAsia="en-US"/>
        </w:rPr>
        <w:t xml:space="preserve"> </w:t>
      </w:r>
      <w:r w:rsidRPr="007324AC">
        <w:rPr>
          <w:sz w:val="18"/>
          <w:szCs w:val="18"/>
          <w:lang w:val="en-US" w:eastAsia="en-US"/>
        </w:rPr>
        <w:t>As soon as practicable after the normal situation has been restored, the master shall ensure that any seafarers who have performed work in a scheduled rest period are provided with an adequate</w:t>
      </w:r>
      <w:r w:rsidR="00C1285C" w:rsidRPr="007324AC">
        <w:rPr>
          <w:sz w:val="18"/>
          <w:szCs w:val="18"/>
          <w:lang w:val="en-US" w:eastAsia="en-US"/>
        </w:rPr>
        <w:t xml:space="preserve"> </w:t>
      </w:r>
      <w:r w:rsidRPr="007324AC">
        <w:rPr>
          <w:sz w:val="18"/>
          <w:szCs w:val="18"/>
          <w:lang w:val="en-US" w:eastAsia="en-US"/>
        </w:rPr>
        <w:t>period of rest.</w:t>
      </w:r>
    </w:p>
    <w:sectPr w:rsidR="00B17849" w:rsidRPr="007324AC" w:rsidSect="00632480">
      <w:footerReference w:type="default" r:id="rId7"/>
      <w:headerReference w:type="first" r:id="rId8"/>
      <w:footerReference w:type="first" r:id="rId9"/>
      <w:pgSz w:w="16838" w:h="11906" w:orient="landscape"/>
      <w:pgMar w:top="1440" w:right="720" w:bottom="709"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B7" w:rsidRDefault="004778B7" w:rsidP="00285F0E">
      <w:r>
        <w:separator/>
      </w:r>
    </w:p>
  </w:endnote>
  <w:endnote w:type="continuationSeparator" w:id="0">
    <w:p w:rsidR="004778B7" w:rsidRDefault="004778B7" w:rsidP="0028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adeGothic-BoldOblique">
    <w:altName w:val="Arial"/>
    <w:panose1 w:val="00000000000000000000"/>
    <w:charset w:val="00"/>
    <w:family w:val="swiss"/>
    <w:notTrueType/>
    <w:pitch w:val="default"/>
    <w:sig w:usb0="00000003" w:usb1="00000000" w:usb2="00000000" w:usb3="00000000" w:csb0="00000001" w:csb1="00000000"/>
  </w:font>
  <w:font w:name="TradeGothic-Oblique">
    <w:altName w:val="Arial"/>
    <w:panose1 w:val="00000000000000000000"/>
    <w:charset w:val="00"/>
    <w:family w:val="swiss"/>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1A" w:rsidRDefault="00D8201A" w:rsidP="00D8201A">
    <w:pPr>
      <w:pStyle w:val="Footer"/>
      <w:jc w:val="right"/>
    </w:pPr>
    <w:r>
      <w:fldChar w:fldCharType="begin"/>
    </w:r>
    <w:r>
      <w:instrText xml:space="preserve"> PAGE   \* MERGEFORMAT </w:instrText>
    </w:r>
    <w:r>
      <w:fldChar w:fldCharType="separate"/>
    </w:r>
    <w:r w:rsidRPr="00D8201A">
      <w:rPr>
        <w:b/>
        <w:bCs/>
        <w:noProof/>
      </w:rPr>
      <w:t>2</w:t>
    </w:r>
    <w:r>
      <w:rPr>
        <w:b/>
        <w:bCs/>
        <w:noProof/>
      </w:rPr>
      <w:fldChar w:fldCharType="end"/>
    </w:r>
    <w:r>
      <w:rPr>
        <w:b/>
        <w:bCs/>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1A" w:rsidRDefault="00D8201A" w:rsidP="00D8201A">
    <w:pPr>
      <w:pStyle w:val="Footer"/>
      <w:jc w:val="right"/>
    </w:pPr>
    <w:r>
      <w:t xml:space="preserve"> </w:t>
    </w:r>
    <w:r>
      <w:fldChar w:fldCharType="begin"/>
    </w:r>
    <w:r>
      <w:instrText xml:space="preserve"> PAGE   \* MERGEFORMAT </w:instrText>
    </w:r>
    <w:r>
      <w:fldChar w:fldCharType="separate"/>
    </w:r>
    <w:r w:rsidR="00DC5DF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B7" w:rsidRDefault="004778B7" w:rsidP="00285F0E">
      <w:r>
        <w:separator/>
      </w:r>
    </w:p>
  </w:footnote>
  <w:footnote w:type="continuationSeparator" w:id="0">
    <w:p w:rsidR="004778B7" w:rsidRDefault="004778B7" w:rsidP="0028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67" w:rsidRDefault="00D97267" w:rsidP="00D97267">
    <w:pPr>
      <w:tabs>
        <w:tab w:val="center" w:pos="1701"/>
        <w:tab w:val="left" w:pos="3705"/>
        <w:tab w:val="left" w:pos="6570"/>
        <w:tab w:val="center" w:pos="7920"/>
      </w:tabs>
      <w:jc w:val="center"/>
      <w:rPr>
        <w:rFonts w:ascii="Arial" w:hAnsi="Arial" w:cs="Arial"/>
        <w:sz w:val="20"/>
        <w:szCs w:val="20"/>
        <w:lang w:val="en-US"/>
      </w:rPr>
    </w:pPr>
  </w:p>
  <w:p w:rsidR="00D8201A" w:rsidRDefault="00D8201A" w:rsidP="00D97267">
    <w:pPr>
      <w:tabs>
        <w:tab w:val="center" w:pos="1701"/>
        <w:tab w:val="left" w:pos="3705"/>
        <w:tab w:val="left" w:pos="6570"/>
        <w:tab w:val="center" w:pos="7920"/>
      </w:tabs>
      <w:jc w:val="center"/>
      <w:rPr>
        <w:rFonts w:ascii="Arial" w:hAnsi="Arial" w:cs="Arial"/>
        <w:sz w:val="20"/>
        <w:szCs w:val="20"/>
        <w:lang w:val="en-US"/>
      </w:rPr>
    </w:pPr>
  </w:p>
  <w:p w:rsidR="00D8201A" w:rsidRPr="00D97267" w:rsidRDefault="00D8201A" w:rsidP="00D97267">
    <w:pPr>
      <w:tabs>
        <w:tab w:val="center" w:pos="1701"/>
        <w:tab w:val="left" w:pos="3705"/>
        <w:tab w:val="left" w:pos="6570"/>
        <w:tab w:val="center" w:pos="7920"/>
      </w:tabs>
      <w:jc w:val="center"/>
      <w:rPr>
        <w:rFonts w:ascii="Arial" w:hAnsi="Arial" w:cs="Arial"/>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8"/>
    <w:rsid w:val="00055622"/>
    <w:rsid w:val="000C0AE8"/>
    <w:rsid w:val="001436C7"/>
    <w:rsid w:val="0018476E"/>
    <w:rsid w:val="001A2DEF"/>
    <w:rsid w:val="00276F5F"/>
    <w:rsid w:val="00285F0E"/>
    <w:rsid w:val="002F1D24"/>
    <w:rsid w:val="002F746A"/>
    <w:rsid w:val="003A3A78"/>
    <w:rsid w:val="003E4354"/>
    <w:rsid w:val="003F67BD"/>
    <w:rsid w:val="00441B64"/>
    <w:rsid w:val="00465E5F"/>
    <w:rsid w:val="004778B7"/>
    <w:rsid w:val="004B2843"/>
    <w:rsid w:val="00616A97"/>
    <w:rsid w:val="00622F29"/>
    <w:rsid w:val="00631C4F"/>
    <w:rsid w:val="00632480"/>
    <w:rsid w:val="006A30DF"/>
    <w:rsid w:val="007324AC"/>
    <w:rsid w:val="00784748"/>
    <w:rsid w:val="008B5F9E"/>
    <w:rsid w:val="00905294"/>
    <w:rsid w:val="00AD3827"/>
    <w:rsid w:val="00B171E9"/>
    <w:rsid w:val="00B17849"/>
    <w:rsid w:val="00B9215C"/>
    <w:rsid w:val="00C1285C"/>
    <w:rsid w:val="00C40F9C"/>
    <w:rsid w:val="00C753F5"/>
    <w:rsid w:val="00CB0859"/>
    <w:rsid w:val="00CE5EA7"/>
    <w:rsid w:val="00D8201A"/>
    <w:rsid w:val="00D92A1B"/>
    <w:rsid w:val="00D97267"/>
    <w:rsid w:val="00DC5DFE"/>
    <w:rsid w:val="00DE0CB9"/>
    <w:rsid w:val="00E369A0"/>
    <w:rsid w:val="00EF3690"/>
    <w:rsid w:val="00FC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60C6726-B99B-4365-865E-14FFF2B5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43"/>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5F0E"/>
    <w:pPr>
      <w:tabs>
        <w:tab w:val="center" w:pos="4320"/>
        <w:tab w:val="right" w:pos="8640"/>
      </w:tabs>
    </w:pPr>
  </w:style>
  <w:style w:type="character" w:customStyle="1" w:styleId="HeaderChar">
    <w:name w:val="Header Char"/>
    <w:basedOn w:val="DefaultParagraphFont"/>
    <w:link w:val="Header"/>
    <w:rsid w:val="00285F0E"/>
    <w:rPr>
      <w:sz w:val="24"/>
      <w:szCs w:val="24"/>
      <w:lang w:val="el-GR" w:eastAsia="el-GR"/>
    </w:rPr>
  </w:style>
  <w:style w:type="paragraph" w:styleId="Footer">
    <w:name w:val="footer"/>
    <w:basedOn w:val="Normal"/>
    <w:link w:val="FooterChar"/>
    <w:rsid w:val="00285F0E"/>
    <w:pPr>
      <w:tabs>
        <w:tab w:val="center" w:pos="4320"/>
        <w:tab w:val="right" w:pos="8640"/>
      </w:tabs>
    </w:pPr>
  </w:style>
  <w:style w:type="character" w:customStyle="1" w:styleId="FooterChar">
    <w:name w:val="Footer Char"/>
    <w:basedOn w:val="DefaultParagraphFont"/>
    <w:link w:val="Footer"/>
    <w:rsid w:val="00285F0E"/>
    <w:rPr>
      <w:sz w:val="24"/>
      <w:szCs w:val="24"/>
      <w:lang w:val="el-GR" w:eastAsia="el-GR"/>
    </w:rPr>
  </w:style>
  <w:style w:type="paragraph" w:styleId="BalloonText">
    <w:name w:val="Balloon Text"/>
    <w:basedOn w:val="Normal"/>
    <w:link w:val="BalloonTextChar"/>
    <w:uiPriority w:val="99"/>
    <w:rsid w:val="00276F5F"/>
    <w:rPr>
      <w:rFonts w:ascii="Tahoma" w:hAnsi="Tahoma" w:cs="Tahoma"/>
      <w:sz w:val="16"/>
      <w:szCs w:val="16"/>
    </w:rPr>
  </w:style>
  <w:style w:type="character" w:customStyle="1" w:styleId="BalloonTextChar">
    <w:name w:val="Balloon Text Char"/>
    <w:basedOn w:val="DefaultParagraphFont"/>
    <w:link w:val="BalloonText"/>
    <w:uiPriority w:val="99"/>
    <w:rsid w:val="00276F5F"/>
    <w:rPr>
      <w:rFonts w:ascii="Tahoma" w:hAnsi="Tahoma" w:cs="Tahoma"/>
      <w:sz w:val="16"/>
      <w:szCs w:val="16"/>
      <w:lang w:val="el-GR" w:eastAsia="el-GR"/>
    </w:rPr>
  </w:style>
  <w:style w:type="paragraph" w:styleId="ListParagraph">
    <w:name w:val="List Paragraph"/>
    <w:basedOn w:val="Normal"/>
    <w:uiPriority w:val="34"/>
    <w:qFormat/>
    <w:rsid w:val="0073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CB33-0FBD-44E5-98A6-0FBBAAF5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IL  04</vt:lpstr>
    </vt:vector>
  </TitlesOfParts>
  <Company>TS-BROS</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04</dc:title>
  <dc:subject/>
  <dc:creator>ez</dc:creator>
  <cp:keywords/>
  <dc:description/>
  <cp:lastModifiedBy>Charalambos Charalambous</cp:lastModifiedBy>
  <cp:revision>4</cp:revision>
  <cp:lastPrinted>2018-02-22T11:20:00Z</cp:lastPrinted>
  <dcterms:created xsi:type="dcterms:W3CDTF">2018-11-06T09:49:00Z</dcterms:created>
  <dcterms:modified xsi:type="dcterms:W3CDTF">2018-11-06T09:52:00Z</dcterms:modified>
</cp:coreProperties>
</file>